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4" w:rsidRDefault="001F3D64" w:rsidP="001F3D64">
      <w:pPr>
        <w:jc w:val="center"/>
        <w:rPr>
          <w:b/>
        </w:rPr>
      </w:pPr>
    </w:p>
    <w:p w:rsidR="001F3D64" w:rsidRDefault="001F3D64" w:rsidP="001F3D64">
      <w:pPr>
        <w:jc w:val="center"/>
        <w:rPr>
          <w:b/>
        </w:rPr>
      </w:pPr>
      <w:r>
        <w:rPr>
          <w:b/>
        </w:rPr>
        <w:t>Тезисы</w:t>
      </w:r>
    </w:p>
    <w:p w:rsidR="001F3D64" w:rsidRDefault="001F3D64" w:rsidP="001F3D64">
      <w:pPr>
        <w:jc w:val="center"/>
        <w:rPr>
          <w:b/>
        </w:rPr>
      </w:pPr>
      <w:r>
        <w:rPr>
          <w:b/>
        </w:rPr>
        <w:t>для выступления на аппаратном обучающем мероприятии</w:t>
      </w:r>
    </w:p>
    <w:p w:rsidR="001F3D64" w:rsidRDefault="001F3D64" w:rsidP="001F3D64">
      <w:pPr>
        <w:jc w:val="center"/>
        <w:rPr>
          <w:b/>
        </w:rPr>
      </w:pPr>
      <w:r>
        <w:rPr>
          <w:b/>
        </w:rPr>
        <w:t>14 июня 2018 года</w:t>
      </w:r>
    </w:p>
    <w:p w:rsidR="001F3D64" w:rsidRDefault="001F3D64" w:rsidP="001F3D64">
      <w:pPr>
        <w:rPr>
          <w:b/>
        </w:rPr>
      </w:pPr>
    </w:p>
    <w:p w:rsidR="001F3D64" w:rsidRDefault="001F3D64" w:rsidP="001F3D64">
      <w:pPr>
        <w:jc w:val="center"/>
        <w:rPr>
          <w:b/>
          <w:i/>
        </w:rPr>
      </w:pPr>
      <w:r>
        <w:rPr>
          <w:b/>
        </w:rPr>
        <w:t>Тема</w:t>
      </w:r>
      <w:proofErr w:type="gramStart"/>
      <w:r>
        <w:rPr>
          <w:b/>
        </w:rPr>
        <w:t>:</w:t>
      </w:r>
      <w:r>
        <w:rPr>
          <w:b/>
          <w:i/>
        </w:rPr>
        <w:t>«</w:t>
      </w:r>
      <w:proofErr w:type="gramEnd"/>
      <w:r>
        <w:rPr>
          <w:b/>
          <w:i/>
        </w:rPr>
        <w:t>Критерии оценки конкурсных работ ИКМО, ТИК по информационно-разъяснительной деятельности и повышению правовой</w:t>
      </w:r>
      <w:r w:rsidR="008405FC">
        <w:rPr>
          <w:b/>
          <w:i/>
        </w:rPr>
        <w:t xml:space="preserve"> культуры избирателей. Типичные ошибки, допускаемые комиссиями при подготовке конкурсных материалов</w:t>
      </w:r>
      <w:r>
        <w:rPr>
          <w:b/>
          <w:i/>
        </w:rPr>
        <w:t>»</w:t>
      </w:r>
    </w:p>
    <w:p w:rsidR="001F3D64" w:rsidRDefault="001F3D64" w:rsidP="001F3D64">
      <w:pPr>
        <w:jc w:val="center"/>
        <w:rPr>
          <w:b/>
          <w:i/>
        </w:rPr>
      </w:pPr>
    </w:p>
    <w:p w:rsidR="001F3D64" w:rsidRPr="003C36B0" w:rsidRDefault="009C75EE" w:rsidP="009C75EE">
      <w:pPr>
        <w:jc w:val="left"/>
        <w:rPr>
          <w:b/>
          <w:i/>
          <w:sz w:val="32"/>
          <w:szCs w:val="32"/>
        </w:rPr>
      </w:pPr>
      <w:r w:rsidRPr="003C36B0">
        <w:rPr>
          <w:b/>
          <w:i/>
          <w:sz w:val="32"/>
          <w:szCs w:val="32"/>
        </w:rPr>
        <w:t>Слайд 1</w:t>
      </w:r>
    </w:p>
    <w:p w:rsidR="001F3D64" w:rsidRDefault="001F3D64" w:rsidP="00F27A1D">
      <w:pPr>
        <w:pStyle w:val="a7"/>
        <w:spacing w:line="360" w:lineRule="auto"/>
        <w:ind w:left="0"/>
        <w:jc w:val="center"/>
      </w:pPr>
      <w:r>
        <w:t>Уважаемые коллеги!</w:t>
      </w:r>
    </w:p>
    <w:p w:rsidR="008C033D" w:rsidRDefault="00F27A1D" w:rsidP="00F27A1D">
      <w:pPr>
        <w:pStyle w:val="a7"/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 xml:space="preserve">В целях повышения эффективности работы избирательных комиссий муниципальных образований, территориальных избирательных комиссий в области информационно-разъяснительной деятельности в период проведения выборов Президента Российской Федерации, </w:t>
      </w:r>
      <w:r>
        <w:rPr>
          <w:bCs/>
          <w:szCs w:val="28"/>
        </w:rPr>
        <w:t xml:space="preserve">выявления и внедрения передового опыта </w:t>
      </w:r>
      <w:r w:rsidR="00AA0A8A">
        <w:rPr>
          <w:bCs/>
          <w:szCs w:val="28"/>
        </w:rPr>
        <w:t xml:space="preserve">их </w:t>
      </w:r>
      <w:r>
        <w:rPr>
          <w:bCs/>
          <w:szCs w:val="28"/>
        </w:rPr>
        <w:t>работы, п</w:t>
      </w:r>
      <w:r w:rsidR="00037164">
        <w:t>остановлением избирательной комиссии Краснодарского края от 28</w:t>
      </w:r>
      <w:r w:rsidR="008C033D">
        <w:rPr>
          <w:szCs w:val="28"/>
        </w:rPr>
        <w:t> </w:t>
      </w:r>
      <w:r w:rsidR="008C033D">
        <w:t>декабря 2017</w:t>
      </w:r>
      <w:r w:rsidR="008C033D">
        <w:rPr>
          <w:szCs w:val="28"/>
        </w:rPr>
        <w:t> </w:t>
      </w:r>
      <w:r w:rsidR="008C033D">
        <w:t>года №</w:t>
      </w:r>
      <w:r w:rsidR="008C033D">
        <w:rPr>
          <w:szCs w:val="28"/>
        </w:rPr>
        <w:t> </w:t>
      </w:r>
      <w:r w:rsidR="00037164">
        <w:t xml:space="preserve">43/501-6 </w:t>
      </w:r>
      <w:r w:rsidR="008C033D">
        <w:t>«</w:t>
      </w:r>
      <w:r w:rsidR="008C033D">
        <w:rPr>
          <w:b/>
          <w:szCs w:val="28"/>
        </w:rPr>
        <w:t>О конкурсе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</w:t>
      </w:r>
      <w:proofErr w:type="gramEnd"/>
      <w:r w:rsidR="008C033D">
        <w:rPr>
          <w:b/>
          <w:szCs w:val="28"/>
        </w:rPr>
        <w:t xml:space="preserve"> информационно-разъяснительной деятельности в период проведения выборов Президента Российской Федерации» </w:t>
      </w:r>
      <w:r w:rsidR="008C033D" w:rsidRPr="0027402B">
        <w:rPr>
          <w:szCs w:val="28"/>
        </w:rPr>
        <w:t>было утверждено</w:t>
      </w:r>
      <w:r w:rsidR="0027402B">
        <w:rPr>
          <w:szCs w:val="28"/>
        </w:rPr>
        <w:t xml:space="preserve"> соответствующее Положение о Конкурсе.</w:t>
      </w:r>
    </w:p>
    <w:p w:rsidR="009C75EE" w:rsidRDefault="009C75EE" w:rsidP="009C75EE">
      <w:pPr>
        <w:jc w:val="left"/>
        <w:rPr>
          <w:b/>
          <w:i/>
        </w:rPr>
      </w:pPr>
    </w:p>
    <w:p w:rsidR="009C75EE" w:rsidRDefault="009C75EE" w:rsidP="009C75EE">
      <w:pPr>
        <w:jc w:val="left"/>
        <w:rPr>
          <w:b/>
          <w:i/>
          <w:sz w:val="32"/>
          <w:szCs w:val="32"/>
        </w:rPr>
      </w:pPr>
      <w:r w:rsidRPr="003C36B0">
        <w:rPr>
          <w:b/>
          <w:i/>
          <w:sz w:val="32"/>
          <w:szCs w:val="32"/>
        </w:rPr>
        <w:t>Слайд 2</w:t>
      </w:r>
    </w:p>
    <w:p w:rsidR="00AA0A8A" w:rsidRPr="003C36B0" w:rsidRDefault="00AA0A8A" w:rsidP="009C75EE">
      <w:pPr>
        <w:jc w:val="left"/>
        <w:rPr>
          <w:b/>
          <w:i/>
          <w:sz w:val="32"/>
          <w:szCs w:val="32"/>
        </w:rPr>
      </w:pPr>
    </w:p>
    <w:p w:rsidR="007204F2" w:rsidRDefault="007204F2" w:rsidP="008C033D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В разделе 2 Положения </w:t>
      </w:r>
      <w:r w:rsidR="00775BA7">
        <w:rPr>
          <w:szCs w:val="28"/>
        </w:rPr>
        <w:t>содержатся основные требования к структуре и содержанию конкурсных материалов, их оформлению и</w:t>
      </w:r>
      <w:r w:rsidR="00BF03AC">
        <w:rPr>
          <w:szCs w:val="28"/>
        </w:rPr>
        <w:t xml:space="preserve"> общие критерии оценки конкурсных материалов.</w:t>
      </w:r>
    </w:p>
    <w:p w:rsidR="00152F6B" w:rsidRDefault="00AA0A8A" w:rsidP="00A82DE0">
      <w:pPr>
        <w:pStyle w:val="aa"/>
      </w:pPr>
      <w:r>
        <w:t xml:space="preserve">1. </w:t>
      </w:r>
      <w:r w:rsidR="00A465EB" w:rsidRPr="00AA0A8A">
        <w:rPr>
          <w:b/>
        </w:rPr>
        <w:t>Презентационный обзор должен иметь</w:t>
      </w:r>
      <w:r w:rsidR="00152F6B">
        <w:t>:</w:t>
      </w:r>
      <w:r w:rsidR="009C75EE">
        <w:t xml:space="preserve"> аналитическую часть; практическую часть; выводы и рекомендации.</w:t>
      </w:r>
    </w:p>
    <w:p w:rsidR="00B63349" w:rsidRDefault="00B63349" w:rsidP="00B63349">
      <w:pPr>
        <w:jc w:val="left"/>
        <w:rPr>
          <w:b/>
          <w:i/>
        </w:rPr>
      </w:pPr>
    </w:p>
    <w:p w:rsidR="00B63349" w:rsidRDefault="00B63349" w:rsidP="00B63349">
      <w:pPr>
        <w:jc w:val="left"/>
        <w:rPr>
          <w:b/>
          <w:i/>
        </w:rPr>
      </w:pPr>
    </w:p>
    <w:p w:rsidR="00B63349" w:rsidRDefault="00B63349" w:rsidP="00B63349">
      <w:pPr>
        <w:jc w:val="left"/>
        <w:rPr>
          <w:b/>
          <w:i/>
        </w:rPr>
      </w:pPr>
    </w:p>
    <w:p w:rsidR="009C75EE" w:rsidRPr="003C36B0" w:rsidRDefault="00B63349" w:rsidP="00B63349">
      <w:pPr>
        <w:jc w:val="left"/>
        <w:rPr>
          <w:b/>
          <w:i/>
          <w:sz w:val="32"/>
          <w:szCs w:val="32"/>
        </w:rPr>
      </w:pPr>
      <w:r w:rsidRPr="003C36B0">
        <w:rPr>
          <w:b/>
          <w:i/>
          <w:sz w:val="32"/>
          <w:szCs w:val="32"/>
        </w:rPr>
        <w:lastRenderedPageBreak/>
        <w:t>Слайд 3</w:t>
      </w:r>
    </w:p>
    <w:p w:rsidR="00B63349" w:rsidRPr="00B63349" w:rsidRDefault="00B63349" w:rsidP="00B63349">
      <w:pPr>
        <w:jc w:val="left"/>
        <w:rPr>
          <w:b/>
          <w:i/>
        </w:rPr>
      </w:pPr>
    </w:p>
    <w:p w:rsidR="00A465EB" w:rsidRPr="00A82DE0" w:rsidRDefault="00B63349" w:rsidP="00A82DE0">
      <w:pPr>
        <w:pStyle w:val="aa"/>
      </w:pPr>
      <w:r>
        <w:t>1.</w:t>
      </w:r>
      <w:r w:rsidR="00152F6B" w:rsidRPr="00A82DE0">
        <w:t xml:space="preserve"> </w:t>
      </w:r>
      <w:r>
        <w:rPr>
          <w:b/>
        </w:rPr>
        <w:t>Аналитическая</w:t>
      </w:r>
      <w:r w:rsidR="00A465EB" w:rsidRPr="00A82DE0">
        <w:rPr>
          <w:b/>
        </w:rPr>
        <w:t xml:space="preserve"> часть</w:t>
      </w:r>
      <w:r>
        <w:t xml:space="preserve"> должна</w:t>
      </w:r>
      <w:r w:rsidR="00A465EB" w:rsidRPr="00A82DE0">
        <w:t xml:space="preserve"> </w:t>
      </w:r>
      <w:r>
        <w:t>содержать</w:t>
      </w:r>
      <w:r w:rsidR="00152F6B" w:rsidRPr="00A82DE0">
        <w:t xml:space="preserve"> перечень нормативных актов избирательной комиссии и органов местного самоуправления по вопросу организации информационно-разъяснительной деятельности, результаты социологических и иных исследований, а также другие параметры, на основании которых избирательная комиссия обосновывает принятый план или программу информационно-разъяснительной деятельности и определяет показатели эффективности работы в данном направлении.</w:t>
      </w:r>
    </w:p>
    <w:p w:rsidR="0027383A" w:rsidRDefault="00B63349" w:rsidP="00A82DE0">
      <w:pPr>
        <w:pStyle w:val="aa"/>
      </w:pPr>
      <w:r>
        <w:t>2.</w:t>
      </w:r>
      <w:r w:rsidR="0027383A" w:rsidRPr="00A82DE0">
        <w:t> </w:t>
      </w:r>
      <w:r w:rsidR="0027383A" w:rsidRPr="00A82DE0">
        <w:rPr>
          <w:b/>
        </w:rPr>
        <w:t>Практическая часть</w:t>
      </w:r>
      <w:r w:rsidR="00F04BA7">
        <w:t xml:space="preserve"> содержит </w:t>
      </w:r>
      <w:r w:rsidR="00A33BC7">
        <w:t>описание основных мероприятий, проведенных в рамках ИРД</w:t>
      </w:r>
      <w:r w:rsidR="0027383A" w:rsidRPr="00A82DE0">
        <w:t>, итоги реализации плана (программы) информационно-разъяснительной деятельности с указанием достигнутых результатов.</w:t>
      </w:r>
    </w:p>
    <w:p w:rsidR="00AA0A8A" w:rsidRPr="00A82DE0" w:rsidRDefault="00AA0A8A" w:rsidP="00A82DE0">
      <w:pPr>
        <w:pStyle w:val="aa"/>
      </w:pPr>
      <w:r>
        <w:t xml:space="preserve">В заключении должны содержаться выводы и рекомендации по дальнейшему планированию </w:t>
      </w:r>
      <w:r w:rsidRPr="00A82DE0">
        <w:t>информационно-разъяснительной деятельности</w:t>
      </w:r>
      <w:r>
        <w:t xml:space="preserve"> комиссии.</w:t>
      </w:r>
    </w:p>
    <w:p w:rsidR="00A33BC7" w:rsidRDefault="00A33BC7" w:rsidP="00A33BC7">
      <w:pPr>
        <w:jc w:val="left"/>
        <w:rPr>
          <w:b/>
          <w:i/>
        </w:rPr>
      </w:pPr>
    </w:p>
    <w:p w:rsidR="00A33BC7" w:rsidRPr="003C36B0" w:rsidRDefault="00A33BC7" w:rsidP="00A33BC7">
      <w:pPr>
        <w:jc w:val="left"/>
        <w:rPr>
          <w:b/>
          <w:i/>
          <w:sz w:val="32"/>
          <w:szCs w:val="32"/>
        </w:rPr>
      </w:pPr>
      <w:r w:rsidRPr="003C36B0">
        <w:rPr>
          <w:b/>
          <w:i/>
          <w:sz w:val="32"/>
          <w:szCs w:val="32"/>
        </w:rPr>
        <w:t>Слайд 4</w:t>
      </w:r>
    </w:p>
    <w:p w:rsidR="00A33BC7" w:rsidRDefault="00A33BC7" w:rsidP="00A82DE0">
      <w:pPr>
        <w:pStyle w:val="aa"/>
        <w:rPr>
          <w:b/>
        </w:rPr>
      </w:pPr>
    </w:p>
    <w:p w:rsidR="0027383A" w:rsidRPr="00A82DE0" w:rsidRDefault="00603152" w:rsidP="00A82DE0">
      <w:pPr>
        <w:pStyle w:val="aa"/>
        <w:rPr>
          <w:b/>
        </w:rPr>
      </w:pPr>
      <w:r>
        <w:rPr>
          <w:b/>
        </w:rPr>
        <w:t>В Положении рекомендуется отразить</w:t>
      </w:r>
      <w:r w:rsidR="0027383A" w:rsidRPr="00A82DE0">
        <w:rPr>
          <w:b/>
        </w:rPr>
        <w:t xml:space="preserve"> </w:t>
      </w:r>
      <w:r w:rsidR="003F1DD4">
        <w:rPr>
          <w:b/>
        </w:rPr>
        <w:t xml:space="preserve">в презентационном материале </w:t>
      </w:r>
      <w:r>
        <w:rPr>
          <w:b/>
        </w:rPr>
        <w:t>следующие направления</w:t>
      </w:r>
      <w:r w:rsidRPr="00603152">
        <w:rPr>
          <w:b/>
        </w:rPr>
        <w:t xml:space="preserve"> </w:t>
      </w:r>
      <w:r w:rsidRPr="00A82DE0">
        <w:rPr>
          <w:b/>
        </w:rPr>
        <w:t>информационно-разъяснительной деятельности</w:t>
      </w:r>
      <w:r w:rsidR="0027383A" w:rsidRPr="00A82DE0">
        <w:rPr>
          <w:b/>
        </w:rPr>
        <w:t>: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 обучение организаторов выборов и других участников избирательного процесса (с указанием количества и категорий обученных);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 подготовка, издание и распространение необходимых справочных, методических, информационных и иных материалов (с указанием наименования, тиража и формы распространения материала);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 xml:space="preserve">- проведение организационных и информационно-разъяснительных мероприятий (семинаров и совещаний, конференций, заседаний «круглых столов» по вопросам организации и проведения выборов, выставок, </w:t>
      </w:r>
      <w:r w:rsidRPr="00A82DE0">
        <w:rPr>
          <w:color w:val="auto"/>
        </w:rPr>
        <w:lastRenderedPageBreak/>
        <w:t>экскурсий, дней открытых дверей и других мероприятий (с указанием вида мероприятия и числа его участников)</w:t>
      </w:r>
      <w:r w:rsidR="00045692" w:rsidRPr="00A82DE0">
        <w:rPr>
          <w:color w:val="auto"/>
        </w:rPr>
        <w:t>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 участие в конкурсных и просветительских мероприятиях, проводимых избирательной комиссией Краснодарского края (с указанием наименования мероприятия, количества его участников, участников, занявших призовые места);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 xml:space="preserve">- проведение районных (городских) конкурсов среди учреждений и организаций, расположенных на территории муниципального района (городского округа), на лучшую организацию информационно-разъяснительной работы в период подготовки и проведения выборов </w:t>
      </w:r>
      <w:r w:rsidR="00131DE7" w:rsidRPr="00A82DE0">
        <w:rPr>
          <w:color w:val="auto"/>
        </w:rPr>
        <w:t>Президента Российской Федерации</w:t>
      </w:r>
      <w:r w:rsidRPr="00A82DE0">
        <w:rPr>
          <w:color w:val="auto"/>
        </w:rPr>
        <w:t>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 xml:space="preserve">- взаимодействие с органами местного самоуправления по размещению (распространению) в муниципальных образованиях информационно-разъяснительных материалов, изготовленных избирательной комиссией Краснодарского края, а также органами местного самоуправления самостоятельно, с использованием наружных средств информирования </w:t>
      </w:r>
      <w:r w:rsidRPr="00A82DE0">
        <w:rPr>
          <w:color w:val="auto"/>
        </w:rPr>
        <w:br/>
        <w:t>(с указанием вида, формата, количества и основных мест размещения материала);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 xml:space="preserve">- размещение информационно-разъяснительных аудио- и видеороликов на телеканалах и радиоканалах государственных и муниципальных организаций телерадиовещания, видеоэкранах на улице и в транспорте (с указанием наименования </w:t>
      </w:r>
      <w:proofErr w:type="spellStart"/>
      <w:proofErr w:type="gramStart"/>
      <w:r w:rsidRPr="00A82DE0">
        <w:rPr>
          <w:color w:val="auto"/>
        </w:rPr>
        <w:t>теле-радиоканала</w:t>
      </w:r>
      <w:proofErr w:type="spellEnd"/>
      <w:proofErr w:type="gramEnd"/>
      <w:r w:rsidRPr="00A82DE0">
        <w:rPr>
          <w:color w:val="auto"/>
        </w:rPr>
        <w:t>, хронометража аудио- и видеороликов и количества трансляций в сутки, количества видеоэкранов и транспортных средств);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 информирование избирателей через государственные и муниципальные организации телерадиовещания (с указанием количества, видов и форм доведения информации – пресс-конференции, интервью, презентации, новостные сюжеты по вопросам подготовки и проведения выборов);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lastRenderedPageBreak/>
        <w:t>- информирование избирателей через государственные и муниципальные периодические печатные издания (с указанием количества, видов и форм доведения информации – интервью, презентации, разъяснения избирательного законодательства, новостные сюжеты по вопросам подготовки и проведения выборов);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 xml:space="preserve">- использование новых информационных технологий в информационно-разъяснительной деятельности (количество тематических информационных материалов, размещенных в социальных сетях, </w:t>
      </w:r>
      <w:proofErr w:type="spellStart"/>
      <w:r w:rsidRPr="00A82DE0">
        <w:rPr>
          <w:color w:val="auto"/>
        </w:rPr>
        <w:t>блогах</w:t>
      </w:r>
      <w:proofErr w:type="spellEnd"/>
      <w:r w:rsidRPr="00A82DE0">
        <w:rPr>
          <w:color w:val="auto"/>
        </w:rPr>
        <w:t xml:space="preserve">, </w:t>
      </w:r>
      <w:proofErr w:type="spellStart"/>
      <w:r w:rsidRPr="00A82DE0">
        <w:rPr>
          <w:color w:val="auto"/>
        </w:rPr>
        <w:t>видеохостингах</w:t>
      </w:r>
      <w:proofErr w:type="spellEnd"/>
      <w:r w:rsidRPr="00A82DE0">
        <w:rPr>
          <w:color w:val="auto"/>
        </w:rPr>
        <w:t xml:space="preserve"> и прочих </w:t>
      </w:r>
      <w:proofErr w:type="spellStart"/>
      <w:proofErr w:type="gramStart"/>
      <w:r w:rsidRPr="00A82DE0">
        <w:rPr>
          <w:color w:val="auto"/>
        </w:rPr>
        <w:t>интернет-платформах</w:t>
      </w:r>
      <w:proofErr w:type="spellEnd"/>
      <w:proofErr w:type="gramEnd"/>
      <w:r w:rsidRPr="00A82DE0">
        <w:rPr>
          <w:color w:val="auto"/>
        </w:rPr>
        <w:t>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 информационное наполнение интернет-сайтов (страниц) избирательных комиссий, содействие в наполнении интернет-сайта избирательной комиссии Краснодарского края (с указанием количества новостных сюжетов, размещенных на интернет-сайте (странице) избирательной комиссии и количество новостных сюжетов, направленных в избирательную комиссию Краснодарского края);</w:t>
      </w:r>
    </w:p>
    <w:p w:rsidR="00D7785B" w:rsidRPr="00A82DE0" w:rsidRDefault="00D7785B" w:rsidP="00A82DE0">
      <w:pPr>
        <w:pStyle w:val="ab"/>
        <w:rPr>
          <w:color w:val="auto"/>
        </w:rPr>
      </w:pPr>
      <w:r w:rsidRPr="00A82DE0">
        <w:rPr>
          <w:color w:val="auto"/>
        </w:rPr>
        <w:t>- совместные мероприятия с представителями гражданского общества, правозащитниками, наблюдателями, общественными организациями по информированию избирателей (формы проведения, охват).</w:t>
      </w:r>
    </w:p>
    <w:p w:rsidR="00426F9F" w:rsidRDefault="00426F9F" w:rsidP="00426F9F">
      <w:pPr>
        <w:jc w:val="left"/>
        <w:rPr>
          <w:b/>
          <w:i/>
        </w:rPr>
      </w:pPr>
    </w:p>
    <w:p w:rsidR="00426F9F" w:rsidRDefault="00426F9F" w:rsidP="00426F9F">
      <w:pPr>
        <w:jc w:val="left"/>
        <w:rPr>
          <w:b/>
          <w:i/>
          <w:sz w:val="32"/>
          <w:szCs w:val="32"/>
        </w:rPr>
      </w:pPr>
      <w:r w:rsidRPr="003C36B0">
        <w:rPr>
          <w:b/>
          <w:i/>
          <w:sz w:val="32"/>
          <w:szCs w:val="32"/>
        </w:rPr>
        <w:t>Слайд 5</w:t>
      </w:r>
    </w:p>
    <w:p w:rsidR="003F1DD4" w:rsidRPr="003C36B0" w:rsidRDefault="003F1DD4" w:rsidP="00426F9F">
      <w:pPr>
        <w:jc w:val="left"/>
        <w:rPr>
          <w:b/>
          <w:i/>
          <w:sz w:val="32"/>
          <w:szCs w:val="32"/>
        </w:rPr>
      </w:pPr>
    </w:p>
    <w:p w:rsidR="005D6A0D" w:rsidRPr="00052BC7" w:rsidRDefault="00426F9F" w:rsidP="00A82DE0">
      <w:pPr>
        <w:pStyle w:val="aa"/>
      </w:pPr>
      <w:r>
        <w:t>3.</w:t>
      </w:r>
      <w:r w:rsidR="005D6A0D" w:rsidRPr="00052BC7">
        <w:t xml:space="preserve"> </w:t>
      </w:r>
      <w:r w:rsidR="005D6A0D" w:rsidRPr="005D6A0D">
        <w:rPr>
          <w:b/>
        </w:rPr>
        <w:t>Выводы и рекомендации</w:t>
      </w:r>
      <w:r w:rsidR="005D6A0D" w:rsidRPr="00052BC7">
        <w:t xml:space="preserve"> – раздел, содержащий итоги реализации плана (программы) информационно-разъяснительной деятельности, отражающий эффективность проведенной работы, анализ электоральной активности избирателей в сравнении с выборами Президента Российской Федерации в 2012 году (в том числе молодежи и инвалидов), а также общие выводы и рекомендации по дальнейшему планированию информационно-разъяснительной деятельности.</w:t>
      </w:r>
    </w:p>
    <w:p w:rsidR="00AF0D58" w:rsidRDefault="00AF0D58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</w:p>
    <w:p w:rsidR="00EF22D3" w:rsidRDefault="00AF0D58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 w:rsidRPr="00543263">
        <w:rPr>
          <w:b/>
          <w:szCs w:val="28"/>
        </w:rPr>
        <w:lastRenderedPageBreak/>
        <w:t>Анализ содержания презентационных материалов показал</w:t>
      </w:r>
      <w:r w:rsidRPr="00AF0D58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AF0D58">
        <w:rPr>
          <w:szCs w:val="28"/>
        </w:rPr>
        <w:t>что большинство ТИК и ОКМО придерживались этих рекомендаций</w:t>
      </w:r>
      <w:r w:rsidR="005D6A0D" w:rsidRPr="00AF0D58">
        <w:rPr>
          <w:szCs w:val="28"/>
        </w:rPr>
        <w:t>.</w:t>
      </w:r>
      <w:r w:rsidR="000C4408">
        <w:rPr>
          <w:szCs w:val="28"/>
        </w:rPr>
        <w:t xml:space="preserve"> </w:t>
      </w:r>
    </w:p>
    <w:p w:rsidR="004304D6" w:rsidRDefault="004304D6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Вместе с тем, отдельные презентационные материалы содержат значительные отступления от</w:t>
      </w:r>
      <w:r w:rsidR="00EA3340">
        <w:rPr>
          <w:szCs w:val="28"/>
        </w:rPr>
        <w:t xml:space="preserve"> Положения о конкурсе.</w:t>
      </w:r>
    </w:p>
    <w:p w:rsidR="003F1DD4" w:rsidRDefault="003F1DD4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</w:p>
    <w:p w:rsidR="00426F9F" w:rsidRPr="00996948" w:rsidRDefault="00426F9F" w:rsidP="00426F9F">
      <w:pPr>
        <w:jc w:val="left"/>
        <w:rPr>
          <w:b/>
          <w:i/>
          <w:sz w:val="32"/>
          <w:szCs w:val="32"/>
        </w:rPr>
      </w:pPr>
      <w:r w:rsidRPr="00996948">
        <w:rPr>
          <w:b/>
          <w:i/>
          <w:sz w:val="32"/>
          <w:szCs w:val="32"/>
        </w:rPr>
        <w:t>Слайд 6</w:t>
      </w:r>
    </w:p>
    <w:p w:rsidR="00426F9F" w:rsidRPr="00426F9F" w:rsidRDefault="00426F9F" w:rsidP="00426F9F">
      <w:pPr>
        <w:jc w:val="left"/>
        <w:rPr>
          <w:b/>
          <w:i/>
        </w:rPr>
      </w:pPr>
    </w:p>
    <w:p w:rsidR="00EA3340" w:rsidRPr="003905FA" w:rsidRDefault="00EA3340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b/>
          <w:szCs w:val="28"/>
        </w:rPr>
      </w:pPr>
      <w:r w:rsidRPr="003905FA">
        <w:rPr>
          <w:b/>
          <w:szCs w:val="28"/>
        </w:rPr>
        <w:t>К типичным ошибкам можно отнести:</w:t>
      </w:r>
    </w:p>
    <w:p w:rsidR="000263F7" w:rsidRDefault="007212A4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Pr="00A82DE0">
        <w:t> </w:t>
      </w:r>
      <w:r w:rsidR="00EF22D3">
        <w:rPr>
          <w:szCs w:val="28"/>
        </w:rPr>
        <w:t>Пункт 2.2 Положения содержит ограничения по объему</w:t>
      </w:r>
      <w:r w:rsidR="00706C77" w:rsidRPr="00706C77">
        <w:rPr>
          <w:szCs w:val="28"/>
        </w:rPr>
        <w:t xml:space="preserve"> </w:t>
      </w:r>
      <w:r w:rsidR="00706C77" w:rsidRPr="00AF0D58">
        <w:rPr>
          <w:szCs w:val="28"/>
        </w:rPr>
        <w:t>презентационных материалов</w:t>
      </w:r>
      <w:r w:rsidR="00706C77">
        <w:rPr>
          <w:szCs w:val="28"/>
        </w:rPr>
        <w:t xml:space="preserve"> – </w:t>
      </w:r>
      <w:r w:rsidR="00706C77" w:rsidRPr="00706C77">
        <w:rPr>
          <w:b/>
          <w:szCs w:val="28"/>
        </w:rPr>
        <w:t>не более 30 листов</w:t>
      </w:r>
      <w:r w:rsidR="006551DA">
        <w:rPr>
          <w:szCs w:val="28"/>
        </w:rPr>
        <w:t xml:space="preserve">. </w:t>
      </w:r>
    </w:p>
    <w:p w:rsidR="003905FA" w:rsidRDefault="006551DA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Однако некото</w:t>
      </w:r>
      <w:r w:rsidR="00706C77">
        <w:rPr>
          <w:szCs w:val="28"/>
        </w:rPr>
        <w:t>рые ТИК</w:t>
      </w:r>
      <w:r>
        <w:rPr>
          <w:szCs w:val="28"/>
        </w:rPr>
        <w:t xml:space="preserve"> значительно превысили этот объем: </w:t>
      </w:r>
      <w:r w:rsidR="00543263">
        <w:rPr>
          <w:szCs w:val="28"/>
        </w:rPr>
        <w:t xml:space="preserve">ТИК </w:t>
      </w:r>
      <w:r>
        <w:rPr>
          <w:szCs w:val="28"/>
        </w:rPr>
        <w:t xml:space="preserve">Апшеронская – 45 л., </w:t>
      </w:r>
      <w:r w:rsidR="00543263">
        <w:rPr>
          <w:szCs w:val="28"/>
        </w:rPr>
        <w:t xml:space="preserve">ТИК </w:t>
      </w:r>
      <w:r w:rsidR="007321E3">
        <w:rPr>
          <w:szCs w:val="28"/>
        </w:rPr>
        <w:t xml:space="preserve">Пригородная Новороссийска – 50 л., </w:t>
      </w:r>
      <w:r w:rsidR="00543263">
        <w:rPr>
          <w:szCs w:val="28"/>
        </w:rPr>
        <w:t xml:space="preserve">ТИК </w:t>
      </w:r>
      <w:proofErr w:type="spellStart"/>
      <w:r w:rsidR="007321E3">
        <w:rPr>
          <w:szCs w:val="28"/>
        </w:rPr>
        <w:t>Лабинская</w:t>
      </w:r>
      <w:proofErr w:type="spellEnd"/>
      <w:r w:rsidR="007321E3">
        <w:rPr>
          <w:szCs w:val="28"/>
        </w:rPr>
        <w:t xml:space="preserve"> – 57 л. Это произошло потому, что они пр</w:t>
      </w:r>
      <w:r w:rsidR="00A2541F">
        <w:rPr>
          <w:szCs w:val="28"/>
        </w:rPr>
        <w:t>я</w:t>
      </w:r>
      <w:r w:rsidR="007321E3">
        <w:rPr>
          <w:szCs w:val="28"/>
        </w:rPr>
        <w:t>мо в тексте</w:t>
      </w:r>
      <w:r w:rsidR="00A2541F">
        <w:rPr>
          <w:szCs w:val="28"/>
        </w:rPr>
        <w:t xml:space="preserve"> презентации разместили фотоматериалы или изложили</w:t>
      </w:r>
      <w:r w:rsidR="004A79D7">
        <w:rPr>
          <w:szCs w:val="28"/>
        </w:rPr>
        <w:t xml:space="preserve"> тексты принятых комиссиями решений.</w:t>
      </w:r>
      <w:r w:rsidR="00A2541F">
        <w:rPr>
          <w:szCs w:val="28"/>
        </w:rPr>
        <w:t xml:space="preserve"> </w:t>
      </w:r>
    </w:p>
    <w:p w:rsidR="00E56B5D" w:rsidRDefault="004A79D7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Мы рекомендовали эти вспомогательные материалы</w:t>
      </w:r>
      <w:r w:rsidR="001A0C69">
        <w:rPr>
          <w:szCs w:val="28"/>
        </w:rPr>
        <w:t xml:space="preserve"> выносить в приложения к поясни</w:t>
      </w:r>
      <w:r>
        <w:rPr>
          <w:szCs w:val="28"/>
        </w:rPr>
        <w:t>тельной записке.</w:t>
      </w:r>
      <w:r w:rsidR="005A14A6">
        <w:rPr>
          <w:szCs w:val="28"/>
        </w:rPr>
        <w:t xml:space="preserve"> </w:t>
      </w:r>
    </w:p>
    <w:p w:rsidR="00EF22D3" w:rsidRDefault="00117CBF" w:rsidP="00A465E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7212A4">
        <w:rPr>
          <w:szCs w:val="28"/>
        </w:rPr>
        <w:t>.</w:t>
      </w:r>
      <w:r w:rsidR="007212A4" w:rsidRPr="00A82DE0">
        <w:t> </w:t>
      </w:r>
      <w:r>
        <w:rPr>
          <w:szCs w:val="28"/>
        </w:rPr>
        <w:t>Есть</w:t>
      </w:r>
      <w:r w:rsidR="005A14A6">
        <w:rPr>
          <w:szCs w:val="28"/>
        </w:rPr>
        <w:t xml:space="preserve"> другая крайность, напр</w:t>
      </w:r>
      <w:r w:rsidR="004A5D47">
        <w:rPr>
          <w:szCs w:val="28"/>
        </w:rPr>
        <w:t>и</w:t>
      </w:r>
      <w:r w:rsidR="005A14A6">
        <w:rPr>
          <w:szCs w:val="28"/>
        </w:rPr>
        <w:t xml:space="preserve">мер, ТИК Павловская </w:t>
      </w:r>
      <w:r w:rsidR="004A5D47">
        <w:rPr>
          <w:szCs w:val="28"/>
        </w:rPr>
        <w:t xml:space="preserve">представила пояснительную записку на 4 листах, а все остальное представила в приложениях. Причем </w:t>
      </w:r>
      <w:r w:rsidR="00E56B5D">
        <w:rPr>
          <w:szCs w:val="28"/>
        </w:rPr>
        <w:t>отчет о размещении наружных информационных материалов с фотографиями и адресами их размещения составил 48 листов. Анализа проделанной работы нет.</w:t>
      </w:r>
    </w:p>
    <w:p w:rsidR="00117CBF" w:rsidRDefault="00117CBF" w:rsidP="00117CBF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3.</w:t>
      </w:r>
      <w:r w:rsidRPr="00A82DE0">
        <w:t> </w:t>
      </w:r>
      <w:r>
        <w:rPr>
          <w:szCs w:val="28"/>
        </w:rPr>
        <w:t xml:space="preserve">В презентационных материалах некоторых ТИК (например, ТИК Тихорецкая) прилагается много </w:t>
      </w:r>
      <w:proofErr w:type="spellStart"/>
      <w:r>
        <w:rPr>
          <w:szCs w:val="28"/>
        </w:rPr>
        <w:t>фотоматерила</w:t>
      </w:r>
      <w:proofErr w:type="spellEnd"/>
      <w:r>
        <w:rPr>
          <w:szCs w:val="28"/>
        </w:rPr>
        <w:t xml:space="preserve"> без указания вида мероприятия, времени и места его проведения.</w:t>
      </w:r>
    </w:p>
    <w:p w:rsidR="009079A3" w:rsidRPr="009079A3" w:rsidRDefault="009079A3" w:rsidP="009079A3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Некоторые избирательные комиссии свои презентационные материалы представили в виде слайдов (например, ТИК Калининская, ТИК </w:t>
      </w:r>
      <w:proofErr w:type="spellStart"/>
      <w:r>
        <w:rPr>
          <w:szCs w:val="28"/>
        </w:rPr>
        <w:t>Белореченская</w:t>
      </w:r>
      <w:proofErr w:type="spellEnd"/>
      <w:r>
        <w:rPr>
          <w:szCs w:val="28"/>
        </w:rPr>
        <w:t>, ТИК Староминская и ИКМО Г. Сочи). Это выгладит красиво. Однако кроме ИКМО г. Сочи остальным комиссиям не удалось раскрыть все направления работы ввиду ограниченного объема текстового материала.</w:t>
      </w:r>
    </w:p>
    <w:p w:rsidR="009079A3" w:rsidRDefault="009079A3" w:rsidP="00117CBF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 w:rsidRPr="003D2F8D">
        <w:rPr>
          <w:szCs w:val="28"/>
        </w:rPr>
        <w:lastRenderedPageBreak/>
        <w:t>Правильно поступила ТИК Староминская, которая наряду со слайдами</w:t>
      </w:r>
      <w:r>
        <w:rPr>
          <w:szCs w:val="28"/>
        </w:rPr>
        <w:t xml:space="preserve"> представила и Пояснительную записку на 22 листах. </w:t>
      </w:r>
    </w:p>
    <w:p w:rsidR="00A465EB" w:rsidRDefault="007212A4" w:rsidP="008C033D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4.</w:t>
      </w:r>
      <w:r w:rsidRPr="00A82DE0">
        <w:t> </w:t>
      </w:r>
      <w:r w:rsidR="00B4401B">
        <w:rPr>
          <w:szCs w:val="28"/>
        </w:rPr>
        <w:t>Некоторые ТИК</w:t>
      </w:r>
      <w:r w:rsidR="00B257B7">
        <w:rPr>
          <w:szCs w:val="28"/>
        </w:rPr>
        <w:t xml:space="preserve"> совершенно не придерживались Положения о ко</w:t>
      </w:r>
      <w:r w:rsidR="00117CBF">
        <w:rPr>
          <w:szCs w:val="28"/>
        </w:rPr>
        <w:t>нкурсе</w:t>
      </w:r>
      <w:r w:rsidR="00B257B7">
        <w:rPr>
          <w:szCs w:val="28"/>
        </w:rPr>
        <w:t xml:space="preserve">. Например, ТИК </w:t>
      </w:r>
      <w:proofErr w:type="spellStart"/>
      <w:r w:rsidR="00B257B7">
        <w:rPr>
          <w:szCs w:val="28"/>
        </w:rPr>
        <w:t>Кропоткинская</w:t>
      </w:r>
      <w:proofErr w:type="spellEnd"/>
      <w:r w:rsidR="00297BDF">
        <w:rPr>
          <w:szCs w:val="28"/>
        </w:rPr>
        <w:t xml:space="preserve"> </w:t>
      </w:r>
      <w:proofErr w:type="gramStart"/>
      <w:r w:rsidR="00297BDF">
        <w:rPr>
          <w:szCs w:val="28"/>
        </w:rPr>
        <w:t>очень много</w:t>
      </w:r>
      <w:proofErr w:type="gramEnd"/>
      <w:r w:rsidR="00297BDF">
        <w:rPr>
          <w:szCs w:val="28"/>
        </w:rPr>
        <w:t xml:space="preserve"> материала привела по работе с молодежью</w:t>
      </w:r>
      <w:r w:rsidR="008430F1">
        <w:rPr>
          <w:szCs w:val="28"/>
        </w:rPr>
        <w:t xml:space="preserve"> в ущерб другим направлениям работы</w:t>
      </w:r>
      <w:r w:rsidR="00117CBF">
        <w:rPr>
          <w:szCs w:val="28"/>
        </w:rPr>
        <w:t>, которые совсем не представлены</w:t>
      </w:r>
      <w:r w:rsidR="008430F1">
        <w:rPr>
          <w:szCs w:val="28"/>
        </w:rPr>
        <w:t>: информирование избирателей через СМИ</w:t>
      </w:r>
      <w:r w:rsidR="002B7583">
        <w:rPr>
          <w:szCs w:val="28"/>
        </w:rPr>
        <w:t>;</w:t>
      </w:r>
      <w:r w:rsidR="001471FC">
        <w:rPr>
          <w:szCs w:val="28"/>
        </w:rPr>
        <w:t xml:space="preserve"> информационное наполнение сайта (страницы) ТИК в сети Интернет; совместные мероприятия с представителями гражданского общества, правозащитниками, наблюдателями</w:t>
      </w:r>
      <w:r w:rsidR="004C1534">
        <w:rPr>
          <w:szCs w:val="28"/>
        </w:rPr>
        <w:t>;</w:t>
      </w:r>
      <w:r w:rsidR="001471FC">
        <w:rPr>
          <w:szCs w:val="28"/>
        </w:rPr>
        <w:t xml:space="preserve"> </w:t>
      </w:r>
      <w:r w:rsidR="002B7583">
        <w:rPr>
          <w:szCs w:val="28"/>
        </w:rPr>
        <w:t>использование новых информационн</w:t>
      </w:r>
      <w:r w:rsidR="004C1534">
        <w:rPr>
          <w:szCs w:val="28"/>
        </w:rPr>
        <w:t>ых технол</w:t>
      </w:r>
      <w:r w:rsidR="00117CBF">
        <w:rPr>
          <w:szCs w:val="28"/>
        </w:rPr>
        <w:t>огий (социальные сети)</w:t>
      </w:r>
      <w:r w:rsidR="00F96412">
        <w:rPr>
          <w:szCs w:val="28"/>
        </w:rPr>
        <w:t>.</w:t>
      </w:r>
    </w:p>
    <w:p w:rsidR="00386219" w:rsidRDefault="007F038A" w:rsidP="008C033D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386219">
        <w:rPr>
          <w:szCs w:val="28"/>
        </w:rPr>
        <w:t xml:space="preserve">. В презентационных материалах </w:t>
      </w:r>
      <w:r w:rsidR="00386219" w:rsidRPr="00386219">
        <w:rPr>
          <w:b/>
          <w:szCs w:val="28"/>
        </w:rPr>
        <w:t>20 ТИК</w:t>
      </w:r>
      <w:r w:rsidR="00386219">
        <w:rPr>
          <w:szCs w:val="28"/>
        </w:rPr>
        <w:t xml:space="preserve"> отсутствует раздел «Выводы и рекомендации».</w:t>
      </w:r>
    </w:p>
    <w:p w:rsidR="009079A3" w:rsidRDefault="009079A3" w:rsidP="008C033D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</w:p>
    <w:p w:rsidR="00835EBD" w:rsidRDefault="00835EBD" w:rsidP="008C033D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Все это устранимо и нам следует добиваться, </w:t>
      </w:r>
      <w:proofErr w:type="gramStart"/>
      <w:r>
        <w:rPr>
          <w:szCs w:val="28"/>
        </w:rPr>
        <w:t>что бы таких замечаний не было</w:t>
      </w:r>
      <w:proofErr w:type="gramEnd"/>
      <w:r>
        <w:rPr>
          <w:szCs w:val="28"/>
        </w:rPr>
        <w:t xml:space="preserve"> в будущем.</w:t>
      </w:r>
    </w:p>
    <w:p w:rsidR="008B648A" w:rsidRDefault="008B648A" w:rsidP="008B648A">
      <w:pPr>
        <w:jc w:val="left"/>
        <w:rPr>
          <w:b/>
          <w:i/>
        </w:rPr>
      </w:pPr>
    </w:p>
    <w:p w:rsidR="00835EBD" w:rsidRDefault="008B648A" w:rsidP="008B648A">
      <w:pPr>
        <w:jc w:val="left"/>
        <w:rPr>
          <w:b/>
          <w:i/>
          <w:sz w:val="32"/>
          <w:szCs w:val="32"/>
        </w:rPr>
      </w:pPr>
      <w:r w:rsidRPr="00996948">
        <w:rPr>
          <w:b/>
          <w:i/>
          <w:sz w:val="32"/>
          <w:szCs w:val="32"/>
        </w:rPr>
        <w:t>Слайд 7</w:t>
      </w:r>
    </w:p>
    <w:p w:rsidR="00996948" w:rsidRPr="00996948" w:rsidRDefault="00996948" w:rsidP="008B648A">
      <w:pPr>
        <w:jc w:val="left"/>
        <w:rPr>
          <w:b/>
          <w:i/>
          <w:sz w:val="32"/>
          <w:szCs w:val="32"/>
        </w:rPr>
      </w:pPr>
    </w:p>
    <w:p w:rsidR="00A8598C" w:rsidRDefault="00A8598C" w:rsidP="00A82DE0">
      <w:pPr>
        <w:pStyle w:val="aa"/>
      </w:pPr>
      <w:r>
        <w:t xml:space="preserve">Что касается </w:t>
      </w:r>
      <w:r>
        <w:rPr>
          <w:b/>
        </w:rPr>
        <w:t>общих критериев</w:t>
      </w:r>
      <w:r w:rsidR="007672B7" w:rsidRPr="0005695B">
        <w:rPr>
          <w:b/>
        </w:rPr>
        <w:t xml:space="preserve"> оценки</w:t>
      </w:r>
      <w:r w:rsidR="007672B7" w:rsidRPr="00052BC7">
        <w:t xml:space="preserve"> </w:t>
      </w:r>
      <w:r w:rsidR="007672B7" w:rsidRPr="00A8598C">
        <w:rPr>
          <w:b/>
        </w:rPr>
        <w:t>конкурсных материалов</w:t>
      </w:r>
      <w:r>
        <w:t xml:space="preserve">, то они изложены в пункте 2.5 Положения о конкурсе. </w:t>
      </w:r>
    </w:p>
    <w:p w:rsidR="007672B7" w:rsidRPr="00052BC7" w:rsidRDefault="00A8598C" w:rsidP="00A82DE0">
      <w:pPr>
        <w:pStyle w:val="aa"/>
      </w:pPr>
      <w:r>
        <w:t xml:space="preserve">Такими критериями </w:t>
      </w:r>
      <w:r w:rsidR="007672B7" w:rsidRPr="00052BC7">
        <w:t>являются:</w:t>
      </w:r>
    </w:p>
    <w:p w:rsidR="007672B7" w:rsidRPr="00052BC7" w:rsidRDefault="007672B7" w:rsidP="00A82DE0">
      <w:pPr>
        <w:pStyle w:val="aa"/>
      </w:pPr>
      <w:r w:rsidRPr="00052BC7">
        <w:t>- наличие планов или программ информационно-разъяснительной деятельности;</w:t>
      </w:r>
    </w:p>
    <w:p w:rsidR="007672B7" w:rsidRPr="00052BC7" w:rsidRDefault="007672B7" w:rsidP="00A82DE0">
      <w:pPr>
        <w:pStyle w:val="aa"/>
      </w:pPr>
      <w:r w:rsidRPr="00052BC7">
        <w:t>- наличие решений избирательной комиссии и органов местного самоуправления муниципального образования по вопросу организации информационно-разъяснительной деятельности;</w:t>
      </w:r>
    </w:p>
    <w:p w:rsidR="007672B7" w:rsidRPr="00052BC7" w:rsidRDefault="007672B7" w:rsidP="00A82DE0">
      <w:pPr>
        <w:pStyle w:val="aa"/>
      </w:pPr>
      <w:r w:rsidRPr="00052BC7">
        <w:t>- наличие в планах (программах) информационно-разъяснительной деятельности мероприятий по повышению электоральной активности молодежи, обеспечению избирательных прав граждан, являющихся инвалидами;</w:t>
      </w:r>
    </w:p>
    <w:p w:rsidR="007672B7" w:rsidRPr="000F34F0" w:rsidRDefault="007672B7" w:rsidP="00A82DE0">
      <w:pPr>
        <w:pStyle w:val="ab"/>
        <w:rPr>
          <w:color w:val="auto"/>
        </w:rPr>
      </w:pPr>
      <w:r w:rsidRPr="000F34F0">
        <w:rPr>
          <w:color w:val="auto"/>
        </w:rPr>
        <w:lastRenderedPageBreak/>
        <w:t>- соответствие мероприятий практической части презентационного обзора рекомендациям аналитической части;</w:t>
      </w:r>
    </w:p>
    <w:p w:rsidR="007672B7" w:rsidRPr="000F34F0" w:rsidRDefault="007672B7" w:rsidP="00A82DE0">
      <w:pPr>
        <w:pStyle w:val="ab"/>
        <w:rPr>
          <w:color w:val="auto"/>
        </w:rPr>
      </w:pPr>
      <w:r w:rsidRPr="000F34F0">
        <w:rPr>
          <w:color w:val="auto"/>
        </w:rPr>
        <w:t>- достижение выделенных в аналитической части презентационного обзора показателей эффективности;</w:t>
      </w:r>
    </w:p>
    <w:p w:rsidR="007672B7" w:rsidRDefault="007672B7" w:rsidP="00313A49">
      <w:pPr>
        <w:spacing w:line="360" w:lineRule="auto"/>
        <w:ind w:firstLine="720"/>
        <w:rPr>
          <w:szCs w:val="28"/>
        </w:rPr>
      </w:pPr>
      <w:r>
        <w:rPr>
          <w:szCs w:val="28"/>
        </w:rPr>
        <w:t>- явка избирателей на выборы, в том числе участие в голосовании молодых избирателей, инвалидов;</w:t>
      </w:r>
    </w:p>
    <w:p w:rsidR="007672B7" w:rsidRDefault="007672B7" w:rsidP="00A82DE0">
      <w:pPr>
        <w:pStyle w:val="aa"/>
      </w:pPr>
      <w:r>
        <w:t>- творческий подход в подготовке и реализации планов или программ информацион</w:t>
      </w:r>
      <w:r w:rsidR="008B648A">
        <w:t>но-разъяснительной деятельности.</w:t>
      </w:r>
    </w:p>
    <w:p w:rsidR="008B648A" w:rsidRDefault="008B648A" w:rsidP="00A82DE0">
      <w:pPr>
        <w:pStyle w:val="aa"/>
      </w:pPr>
      <w:r>
        <w:t xml:space="preserve">А также – </w:t>
      </w:r>
      <w:proofErr w:type="spellStart"/>
      <w:r>
        <w:t>креативность</w:t>
      </w:r>
      <w:proofErr w:type="spellEnd"/>
      <w:r w:rsidR="003C36B0">
        <w:t xml:space="preserve"> оформления конкурсных материалов.</w:t>
      </w:r>
    </w:p>
    <w:p w:rsidR="0005695B" w:rsidRDefault="0005695B" w:rsidP="0005695B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color w:val="FF0000"/>
          <w:szCs w:val="28"/>
        </w:rPr>
      </w:pPr>
    </w:p>
    <w:p w:rsidR="005B3346" w:rsidRPr="00391C15" w:rsidRDefault="005B3346" w:rsidP="00391C15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Cs w:val="28"/>
        </w:rPr>
      </w:pPr>
      <w:r w:rsidRPr="00391C15">
        <w:rPr>
          <w:szCs w:val="28"/>
        </w:rPr>
        <w:t xml:space="preserve">Конкурсные материалы наших призеров, занявших первые места в четырех номинациям (ИКИО г. Сочи, ТИК Пригородная </w:t>
      </w:r>
      <w:r w:rsidR="00391C15" w:rsidRPr="00391C15">
        <w:rPr>
          <w:szCs w:val="28"/>
        </w:rPr>
        <w:t>г. Новороссийска, ТИК Славянская, ИКМО г Краснодара) полностью отвечают этим критериям.</w:t>
      </w:r>
    </w:p>
    <w:p w:rsidR="007672B7" w:rsidRDefault="00AB65A5" w:rsidP="00A82DE0">
      <w:pPr>
        <w:pStyle w:val="aa"/>
      </w:pPr>
      <w:r>
        <w:t>Предлагается раз</w:t>
      </w:r>
      <w:r w:rsidR="00391C15" w:rsidRPr="00867283">
        <w:t>м</w:t>
      </w:r>
      <w:r>
        <w:t>ес</w:t>
      </w:r>
      <w:r w:rsidR="00867283" w:rsidRPr="00867283">
        <w:t>т</w:t>
      </w:r>
      <w:r>
        <w:t>ить</w:t>
      </w:r>
      <w:r w:rsidR="00D87DBD">
        <w:t xml:space="preserve"> их презентационные материалы в </w:t>
      </w:r>
      <w:proofErr w:type="gramStart"/>
      <w:r w:rsidR="00D87DBD">
        <w:t>сетевом</w:t>
      </w:r>
      <w:proofErr w:type="gramEnd"/>
      <w:r w:rsidR="00D87DBD">
        <w:t xml:space="preserve"> </w:t>
      </w:r>
      <w:proofErr w:type="gramStart"/>
      <w:r w:rsidR="00D87DBD">
        <w:t>издании</w:t>
      </w:r>
      <w:proofErr w:type="gramEnd"/>
      <w:r w:rsidR="00D87DBD">
        <w:t xml:space="preserve"> «Вестник избирательной комиссии Краснодарского края»</w:t>
      </w:r>
      <w:r w:rsidR="003C36B0">
        <w:t>.</w:t>
      </w:r>
    </w:p>
    <w:p w:rsidR="003C36B0" w:rsidRDefault="003C36B0" w:rsidP="003C36B0">
      <w:pPr>
        <w:jc w:val="left"/>
        <w:rPr>
          <w:b/>
          <w:i/>
        </w:rPr>
      </w:pPr>
    </w:p>
    <w:p w:rsidR="003C36B0" w:rsidRPr="00996948" w:rsidRDefault="003C36B0" w:rsidP="003C36B0">
      <w:pPr>
        <w:jc w:val="left"/>
        <w:rPr>
          <w:b/>
          <w:i/>
          <w:sz w:val="32"/>
          <w:szCs w:val="32"/>
        </w:rPr>
      </w:pPr>
      <w:r w:rsidRPr="00996948">
        <w:rPr>
          <w:b/>
          <w:i/>
          <w:sz w:val="32"/>
          <w:szCs w:val="32"/>
        </w:rPr>
        <w:t>Слайд 8</w:t>
      </w:r>
    </w:p>
    <w:p w:rsidR="00441977" w:rsidRDefault="00441977" w:rsidP="00441977">
      <w:pPr>
        <w:ind w:firstLine="708"/>
        <w:sectPr w:rsidR="00441977" w:rsidSect="00277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41977" w:rsidRPr="00441977" w:rsidRDefault="00441977" w:rsidP="00D87DBD"/>
    <w:sectPr w:rsidR="00441977" w:rsidRPr="00441977" w:rsidSect="00791060">
      <w:pgSz w:w="16838" w:h="11906" w:orient="landscape" w:code="9"/>
      <w:pgMar w:top="1701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BD" w:rsidRDefault="00D87DBD" w:rsidP="00C7011E">
      <w:r>
        <w:separator/>
      </w:r>
    </w:p>
  </w:endnote>
  <w:endnote w:type="continuationSeparator" w:id="1">
    <w:p w:rsidR="00D87DBD" w:rsidRDefault="00D87DBD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BD" w:rsidRDefault="00D87D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BD" w:rsidRDefault="00D87D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BD" w:rsidRPr="002919AA" w:rsidRDefault="00D87DBD">
    <w:pPr>
      <w:pStyle w:val="a5"/>
      <w:rPr>
        <w:sz w:val="16"/>
        <w:szCs w:val="16"/>
      </w:rPr>
    </w:pPr>
    <w:fldSimple w:instr=" FILENAME  \p  \* MERGEFORMAT ">
      <w:r w:rsidRPr="00D865FE">
        <w:rPr>
          <w:noProof/>
          <w:sz w:val="16"/>
          <w:szCs w:val="16"/>
          <w:lang w:val="en-US"/>
        </w:rPr>
        <w:t>R</w:t>
      </w:r>
      <w:r w:rsidRPr="00D865FE">
        <w:rPr>
          <w:noProof/>
          <w:sz w:val="16"/>
          <w:szCs w:val="16"/>
        </w:rPr>
        <w:t>:\#</w:t>
      </w:r>
      <w:r w:rsidRPr="00D865FE">
        <w:rPr>
          <w:noProof/>
          <w:sz w:val="16"/>
          <w:szCs w:val="16"/>
          <w:lang w:val="en-US"/>
        </w:rPr>
        <w:t>Work</w:t>
      </w:r>
      <w:r w:rsidRPr="00D865FE">
        <w:rPr>
          <w:noProof/>
          <w:sz w:val="16"/>
          <w:szCs w:val="16"/>
        </w:rPr>
        <w:t>\Школа Н.А\Тезисы к выступлению на аппаратной учебе 14.06.2018.docx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BD" w:rsidRDefault="00D87DBD" w:rsidP="00C7011E">
      <w:r>
        <w:separator/>
      </w:r>
    </w:p>
  </w:footnote>
  <w:footnote w:type="continuationSeparator" w:id="1">
    <w:p w:rsidR="00D87DBD" w:rsidRDefault="00D87DBD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BD" w:rsidRDefault="00D87D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D87DBD" w:rsidRDefault="00D87DBD">
        <w:pPr>
          <w:pStyle w:val="a3"/>
          <w:jc w:val="center"/>
        </w:pPr>
        <w:fldSimple w:instr=" PAGE   \* MERGEFORMAT ">
          <w:r w:rsidR="00816ADE">
            <w:rPr>
              <w:noProof/>
            </w:rPr>
            <w:t>2</w:t>
          </w:r>
        </w:fldSimple>
      </w:p>
    </w:sdtContent>
  </w:sdt>
  <w:p w:rsidR="00D87DBD" w:rsidRDefault="00D87D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BD" w:rsidRDefault="00D87D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37A"/>
    <w:multiLevelType w:val="hybridMultilevel"/>
    <w:tmpl w:val="0F64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405FC"/>
    <w:rsid w:val="00014AA9"/>
    <w:rsid w:val="0002537C"/>
    <w:rsid w:val="000263F7"/>
    <w:rsid w:val="00026413"/>
    <w:rsid w:val="0003513C"/>
    <w:rsid w:val="00037164"/>
    <w:rsid w:val="00045692"/>
    <w:rsid w:val="000560ED"/>
    <w:rsid w:val="0005695B"/>
    <w:rsid w:val="00066486"/>
    <w:rsid w:val="00081269"/>
    <w:rsid w:val="00084565"/>
    <w:rsid w:val="00084DE6"/>
    <w:rsid w:val="000C1706"/>
    <w:rsid w:val="000C4408"/>
    <w:rsid w:val="000F117C"/>
    <w:rsid w:val="000F34F0"/>
    <w:rsid w:val="00110948"/>
    <w:rsid w:val="00117CBF"/>
    <w:rsid w:val="00121C5E"/>
    <w:rsid w:val="00131DE7"/>
    <w:rsid w:val="001471FC"/>
    <w:rsid w:val="00152F6B"/>
    <w:rsid w:val="00170395"/>
    <w:rsid w:val="00180ECD"/>
    <w:rsid w:val="001865E0"/>
    <w:rsid w:val="00195459"/>
    <w:rsid w:val="00195E83"/>
    <w:rsid w:val="001A0C69"/>
    <w:rsid w:val="001C2A5E"/>
    <w:rsid w:val="001F3D64"/>
    <w:rsid w:val="001F7688"/>
    <w:rsid w:val="002228E3"/>
    <w:rsid w:val="0023042E"/>
    <w:rsid w:val="00230930"/>
    <w:rsid w:val="00241D4B"/>
    <w:rsid w:val="00246404"/>
    <w:rsid w:val="0027383A"/>
    <w:rsid w:val="0027402B"/>
    <w:rsid w:val="00277C1A"/>
    <w:rsid w:val="0028013C"/>
    <w:rsid w:val="002919AA"/>
    <w:rsid w:val="00297BDF"/>
    <w:rsid w:val="002A0808"/>
    <w:rsid w:val="002A239A"/>
    <w:rsid w:val="002B20E2"/>
    <w:rsid w:val="002B7583"/>
    <w:rsid w:val="002C7607"/>
    <w:rsid w:val="002F17F3"/>
    <w:rsid w:val="00313A49"/>
    <w:rsid w:val="003415AF"/>
    <w:rsid w:val="00385A4B"/>
    <w:rsid w:val="00386219"/>
    <w:rsid w:val="003905FA"/>
    <w:rsid w:val="00391C15"/>
    <w:rsid w:val="003A3928"/>
    <w:rsid w:val="003C36B0"/>
    <w:rsid w:val="003C3AEF"/>
    <w:rsid w:val="003D2F8D"/>
    <w:rsid w:val="003D5FC3"/>
    <w:rsid w:val="003F1DD4"/>
    <w:rsid w:val="00426F9F"/>
    <w:rsid w:val="004304D6"/>
    <w:rsid w:val="00441977"/>
    <w:rsid w:val="00471A07"/>
    <w:rsid w:val="004A5D47"/>
    <w:rsid w:val="004A79D7"/>
    <w:rsid w:val="004C1534"/>
    <w:rsid w:val="004E3F5B"/>
    <w:rsid w:val="004E481B"/>
    <w:rsid w:val="0050398A"/>
    <w:rsid w:val="00537A32"/>
    <w:rsid w:val="00543263"/>
    <w:rsid w:val="00560DA3"/>
    <w:rsid w:val="00560EB9"/>
    <w:rsid w:val="005A0781"/>
    <w:rsid w:val="005A1118"/>
    <w:rsid w:val="005A14A6"/>
    <w:rsid w:val="005A1FC1"/>
    <w:rsid w:val="005A231E"/>
    <w:rsid w:val="005A33CD"/>
    <w:rsid w:val="005B3346"/>
    <w:rsid w:val="005D6A0D"/>
    <w:rsid w:val="00603152"/>
    <w:rsid w:val="006260A4"/>
    <w:rsid w:val="00633D74"/>
    <w:rsid w:val="0064711C"/>
    <w:rsid w:val="00647C24"/>
    <w:rsid w:val="006551DA"/>
    <w:rsid w:val="00696530"/>
    <w:rsid w:val="006D12E2"/>
    <w:rsid w:val="006E2B19"/>
    <w:rsid w:val="00706C77"/>
    <w:rsid w:val="00716ACD"/>
    <w:rsid w:val="007204F2"/>
    <w:rsid w:val="007212A4"/>
    <w:rsid w:val="007321E3"/>
    <w:rsid w:val="00750939"/>
    <w:rsid w:val="00751BD1"/>
    <w:rsid w:val="00763607"/>
    <w:rsid w:val="007672B7"/>
    <w:rsid w:val="00775523"/>
    <w:rsid w:val="00775BA7"/>
    <w:rsid w:val="00775C7D"/>
    <w:rsid w:val="00791060"/>
    <w:rsid w:val="00793EE3"/>
    <w:rsid w:val="007D2855"/>
    <w:rsid w:val="007F038A"/>
    <w:rsid w:val="00813786"/>
    <w:rsid w:val="0081404D"/>
    <w:rsid w:val="00816ADE"/>
    <w:rsid w:val="00835EBD"/>
    <w:rsid w:val="008405FC"/>
    <w:rsid w:val="008430F1"/>
    <w:rsid w:val="00867283"/>
    <w:rsid w:val="00870265"/>
    <w:rsid w:val="008B648A"/>
    <w:rsid w:val="008C033D"/>
    <w:rsid w:val="008E5A5A"/>
    <w:rsid w:val="009079A3"/>
    <w:rsid w:val="009251FF"/>
    <w:rsid w:val="00990196"/>
    <w:rsid w:val="00996948"/>
    <w:rsid w:val="009B2D39"/>
    <w:rsid w:val="009B5001"/>
    <w:rsid w:val="009C75EE"/>
    <w:rsid w:val="00A12AE4"/>
    <w:rsid w:val="00A2541F"/>
    <w:rsid w:val="00A3172C"/>
    <w:rsid w:val="00A3188B"/>
    <w:rsid w:val="00A33BC7"/>
    <w:rsid w:val="00A465EB"/>
    <w:rsid w:val="00A60BB5"/>
    <w:rsid w:val="00A624BD"/>
    <w:rsid w:val="00A82113"/>
    <w:rsid w:val="00A82DE0"/>
    <w:rsid w:val="00A8598C"/>
    <w:rsid w:val="00AA07B9"/>
    <w:rsid w:val="00AA0A8A"/>
    <w:rsid w:val="00AA37E8"/>
    <w:rsid w:val="00AB65A5"/>
    <w:rsid w:val="00AC3CB8"/>
    <w:rsid w:val="00AC7CF9"/>
    <w:rsid w:val="00AC7FA9"/>
    <w:rsid w:val="00AD3E78"/>
    <w:rsid w:val="00AF0D58"/>
    <w:rsid w:val="00AF6A3F"/>
    <w:rsid w:val="00B03C16"/>
    <w:rsid w:val="00B257B7"/>
    <w:rsid w:val="00B42DB8"/>
    <w:rsid w:val="00B4401B"/>
    <w:rsid w:val="00B5709B"/>
    <w:rsid w:val="00B63349"/>
    <w:rsid w:val="00B64C98"/>
    <w:rsid w:val="00BC3918"/>
    <w:rsid w:val="00BF03AC"/>
    <w:rsid w:val="00C130B1"/>
    <w:rsid w:val="00C60974"/>
    <w:rsid w:val="00C7011E"/>
    <w:rsid w:val="00C7451D"/>
    <w:rsid w:val="00CD06D2"/>
    <w:rsid w:val="00CF4FDA"/>
    <w:rsid w:val="00D16995"/>
    <w:rsid w:val="00D34ED9"/>
    <w:rsid w:val="00D5779E"/>
    <w:rsid w:val="00D7785B"/>
    <w:rsid w:val="00D865FE"/>
    <w:rsid w:val="00D87DBD"/>
    <w:rsid w:val="00D962ED"/>
    <w:rsid w:val="00DE038C"/>
    <w:rsid w:val="00DF4D61"/>
    <w:rsid w:val="00E0771A"/>
    <w:rsid w:val="00E27DBF"/>
    <w:rsid w:val="00E31F2E"/>
    <w:rsid w:val="00E56B5D"/>
    <w:rsid w:val="00E67777"/>
    <w:rsid w:val="00E80904"/>
    <w:rsid w:val="00E928D4"/>
    <w:rsid w:val="00EA3340"/>
    <w:rsid w:val="00EC094F"/>
    <w:rsid w:val="00EC6DAC"/>
    <w:rsid w:val="00ED043C"/>
    <w:rsid w:val="00EF22D3"/>
    <w:rsid w:val="00F04BA7"/>
    <w:rsid w:val="00F27A1D"/>
    <w:rsid w:val="00F327A8"/>
    <w:rsid w:val="00F42C4C"/>
    <w:rsid w:val="00F6380F"/>
    <w:rsid w:val="00F96205"/>
    <w:rsid w:val="00F96412"/>
    <w:rsid w:val="00FB2C93"/>
    <w:rsid w:val="00FC2872"/>
    <w:rsid w:val="00FE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paragraph" w:styleId="a7">
    <w:name w:val="List Paragraph"/>
    <w:basedOn w:val="a"/>
    <w:uiPriority w:val="34"/>
    <w:qFormat/>
    <w:rsid w:val="001F3D64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8C033D"/>
    <w:pPr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C033D"/>
    <w:rPr>
      <w:rFonts w:eastAsia="Times New Roman"/>
      <w:szCs w:val="24"/>
      <w:lang w:eastAsia="ru-RU"/>
    </w:rPr>
  </w:style>
  <w:style w:type="paragraph" w:customStyle="1" w:styleId="aa">
    <w:name w:val="Пункт"/>
    <w:basedOn w:val="a"/>
    <w:autoRedefine/>
    <w:rsid w:val="00A82DE0"/>
    <w:pPr>
      <w:tabs>
        <w:tab w:val="left" w:pos="1620"/>
      </w:tabs>
      <w:spacing w:line="360" w:lineRule="auto"/>
      <w:ind w:firstLine="709"/>
    </w:pPr>
    <w:rPr>
      <w:rFonts w:eastAsia="Times New Roman"/>
      <w:szCs w:val="28"/>
      <w:lang w:eastAsia="ru-RU"/>
    </w:rPr>
  </w:style>
  <w:style w:type="paragraph" w:customStyle="1" w:styleId="ab">
    <w:name w:val="Подпункт"/>
    <w:basedOn w:val="aa"/>
    <w:autoRedefine/>
    <w:rsid w:val="00D7785B"/>
    <w:rPr>
      <w:color w:val="FF0000"/>
    </w:rPr>
  </w:style>
  <w:style w:type="paragraph" w:styleId="ac">
    <w:name w:val="Title"/>
    <w:basedOn w:val="a"/>
    <w:link w:val="ad"/>
    <w:qFormat/>
    <w:rsid w:val="00441977"/>
    <w:pPr>
      <w:spacing w:line="360" w:lineRule="auto"/>
      <w:ind w:firstLine="709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441977"/>
    <w:rPr>
      <w:rFonts w:eastAsia="Times New Roman"/>
      <w:b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318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3188B"/>
  </w:style>
  <w:style w:type="paragraph" w:styleId="af0">
    <w:name w:val="Balloon Text"/>
    <w:basedOn w:val="a"/>
    <w:link w:val="af1"/>
    <w:uiPriority w:val="99"/>
    <w:semiHidden/>
    <w:unhideWhenUsed/>
    <w:rsid w:val="001C2A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4C8C-C87C-456D-9D2C-0BD65D8D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cp:lastPrinted>2018-06-14T10:23:00Z</cp:lastPrinted>
  <dcterms:created xsi:type="dcterms:W3CDTF">2018-06-04T12:28:00Z</dcterms:created>
  <dcterms:modified xsi:type="dcterms:W3CDTF">2018-06-14T13:26:00Z</dcterms:modified>
</cp:coreProperties>
</file>